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docProps/app.xml" ContentType="application/vnd.openxmlformats-officedocument.extended-properti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49676" w14:textId="10C8E2BE" w:rsidR="00E42E9F" w:rsidRPr="00E42E9F" w:rsidRDefault="00E42E9F" w:rsidP="00E42E9F">
      <w:pPr>
        <w:pStyle w:val="BodyText"/>
        <w:spacing w:line="252" w:lineRule="auto"/>
        <w:jc w:val="center"/>
        <w:rPr>
          <w:b/>
          <w:sz w:val="26"/>
          <w:szCs w:val="26"/>
        </w:rPr>
      </w:pPr>
      <w:r w:rsidRPr="00E42E9F">
        <w:rPr>
          <w:b/>
          <w:sz w:val="26"/>
          <w:szCs w:val="26"/>
        </w:rPr>
        <w:t>[</w:t>
      </w:r>
      <w:r w:rsidRPr="002F0EBE">
        <w:rPr>
          <w:b/>
          <w:sz w:val="26"/>
          <w:szCs w:val="26"/>
          <w:highlight w:val="yellow"/>
        </w:rPr>
        <w:t>Business Name</w:t>
      </w:r>
      <w:r w:rsidRPr="00E42E9F">
        <w:rPr>
          <w:b/>
          <w:sz w:val="26"/>
          <w:szCs w:val="26"/>
        </w:rPr>
        <w:t>] Health and Safety Policy</w:t>
      </w:r>
    </w:p>
    <w:p w14:paraId="58FF40DC" w14:textId="5F6558B5" w:rsidR="00E42E9F" w:rsidRDefault="00E42E9F" w:rsidP="00E42E9F">
      <w:pPr>
        <w:pStyle w:val="BodyText"/>
        <w:spacing w:line="252" w:lineRule="auto"/>
        <w:jc w:val="center"/>
        <w:rPr>
          <w:w w:val="105"/>
        </w:rPr>
      </w:pPr>
      <w:r w:rsidRPr="00A645CC">
        <w:rPr>
          <w:bCs/>
          <w:sz w:val="18"/>
          <w:szCs w:val="18"/>
        </w:rPr>
        <w:t xml:space="preserve">Adopted in Compliance with </w:t>
      </w:r>
      <w:r>
        <w:rPr>
          <w:bCs/>
          <w:sz w:val="18"/>
          <w:szCs w:val="18"/>
        </w:rPr>
        <w:t xml:space="preserve">the </w:t>
      </w:r>
      <w:r w:rsidRPr="00A645CC">
        <w:rPr>
          <w:bCs/>
          <w:sz w:val="18"/>
          <w:szCs w:val="18"/>
        </w:rPr>
        <w:t>Executive Order of Tarrant Co. Judge B. Glen Whitley issued on June 25</w:t>
      </w:r>
      <w:r>
        <w:rPr>
          <w:bCs/>
          <w:sz w:val="18"/>
          <w:szCs w:val="18"/>
        </w:rPr>
        <w:t>, 2020</w:t>
      </w:r>
    </w:p>
    <w:p w14:paraId="6A0D34E7" w14:textId="4A9111A2" w:rsidR="00E42E9F" w:rsidRDefault="00E42E9F" w:rsidP="00E42E9F">
      <w:pPr>
        <w:pStyle w:val="BodyText"/>
        <w:spacing w:line="252" w:lineRule="auto"/>
        <w:jc w:val="center"/>
        <w:rPr>
          <w:w w:val="105"/>
        </w:rPr>
      </w:pPr>
      <w:r>
        <w:rPr>
          <w:w w:val="105"/>
        </w:rPr>
        <w:t>Effective June 30, 2020</w:t>
      </w:r>
    </w:p>
    <w:p w14:paraId="5A89B6FE" w14:textId="77777777" w:rsidR="00E42E9F" w:rsidRDefault="00E42E9F" w:rsidP="00E42E9F">
      <w:pPr>
        <w:pStyle w:val="BodyText"/>
        <w:spacing w:line="252" w:lineRule="auto"/>
        <w:rPr>
          <w:w w:val="105"/>
        </w:rPr>
      </w:pPr>
    </w:p>
    <w:p w14:paraId="43A13B78" w14:textId="253ACCD7" w:rsidR="00E42E9F" w:rsidRDefault="00E42E9F" w:rsidP="00E42E9F">
      <w:pPr>
        <w:pStyle w:val="BodyText"/>
        <w:spacing w:line="252" w:lineRule="auto"/>
      </w:pPr>
      <w:r>
        <w:rPr>
          <w:w w:val="105"/>
        </w:rPr>
        <w:t>The</w:t>
      </w:r>
      <w:r>
        <w:rPr>
          <w:spacing w:val="-10"/>
          <w:w w:val="105"/>
        </w:rPr>
        <w:t xml:space="preserve"> </w:t>
      </w:r>
      <w:r>
        <w:rPr>
          <w:w w:val="105"/>
        </w:rPr>
        <w:t>virus</w:t>
      </w:r>
      <w:r>
        <w:rPr>
          <w:spacing w:val="-7"/>
          <w:w w:val="105"/>
        </w:rPr>
        <w:t xml:space="preserve"> </w:t>
      </w:r>
      <w:r>
        <w:rPr>
          <w:w w:val="105"/>
        </w:rPr>
        <w:t>that</w:t>
      </w:r>
      <w:r>
        <w:rPr>
          <w:spacing w:val="-5"/>
          <w:w w:val="105"/>
        </w:rPr>
        <w:t xml:space="preserve"> </w:t>
      </w:r>
      <w:r>
        <w:rPr>
          <w:w w:val="105"/>
        </w:rPr>
        <w:t>causes</w:t>
      </w:r>
      <w:r>
        <w:rPr>
          <w:spacing w:val="5"/>
          <w:w w:val="105"/>
        </w:rPr>
        <w:t xml:space="preserve"> </w:t>
      </w:r>
      <w:r>
        <w:rPr>
          <w:w w:val="105"/>
        </w:rPr>
        <w:t>COVID-19</w:t>
      </w:r>
      <w:r>
        <w:rPr>
          <w:spacing w:val="1"/>
          <w:w w:val="105"/>
        </w:rPr>
        <w:t xml:space="preserve"> </w:t>
      </w:r>
      <w:r>
        <w:rPr>
          <w:w w:val="105"/>
        </w:rPr>
        <w:t>can</w:t>
      </w:r>
      <w:r>
        <w:rPr>
          <w:spacing w:val="-9"/>
          <w:w w:val="105"/>
        </w:rPr>
        <w:t xml:space="preserve"> </w:t>
      </w:r>
      <w:r>
        <w:rPr>
          <w:w w:val="105"/>
        </w:rPr>
        <w:t>be</w:t>
      </w:r>
      <w:r>
        <w:rPr>
          <w:spacing w:val="-12"/>
          <w:w w:val="105"/>
        </w:rPr>
        <w:t xml:space="preserve"> </w:t>
      </w:r>
      <w:r>
        <w:rPr>
          <w:w w:val="105"/>
        </w:rPr>
        <w:t>spread</w:t>
      </w:r>
      <w:r>
        <w:rPr>
          <w:spacing w:val="-10"/>
          <w:w w:val="105"/>
        </w:rPr>
        <w:t xml:space="preserve"> </w:t>
      </w:r>
      <w:r>
        <w:rPr>
          <w:w w:val="105"/>
        </w:rPr>
        <w:t>to</w:t>
      </w:r>
      <w:r>
        <w:rPr>
          <w:spacing w:val="-3"/>
          <w:w w:val="105"/>
        </w:rPr>
        <w:t xml:space="preserve"> </w:t>
      </w:r>
      <w:r>
        <w:rPr>
          <w:w w:val="105"/>
        </w:rPr>
        <w:t>others</w:t>
      </w:r>
      <w:r>
        <w:rPr>
          <w:spacing w:val="-3"/>
          <w:w w:val="105"/>
        </w:rPr>
        <w:t xml:space="preserve"> </w:t>
      </w:r>
      <w:r>
        <w:rPr>
          <w:w w:val="105"/>
        </w:rPr>
        <w:t>by</w:t>
      </w:r>
      <w:r>
        <w:rPr>
          <w:spacing w:val="-7"/>
          <w:w w:val="105"/>
        </w:rPr>
        <w:t xml:space="preserve"> </w:t>
      </w:r>
      <w:r>
        <w:rPr>
          <w:w w:val="105"/>
        </w:rPr>
        <w:t>infected</w:t>
      </w:r>
      <w:r>
        <w:rPr>
          <w:spacing w:val="-5"/>
          <w:w w:val="105"/>
        </w:rPr>
        <w:t xml:space="preserve"> </w:t>
      </w:r>
      <w:r>
        <w:rPr>
          <w:w w:val="105"/>
        </w:rPr>
        <w:t>persons</w:t>
      </w:r>
      <w:r>
        <w:rPr>
          <w:spacing w:val="1"/>
          <w:w w:val="105"/>
        </w:rPr>
        <w:t xml:space="preserve"> </w:t>
      </w:r>
      <w:r>
        <w:rPr>
          <w:w w:val="105"/>
        </w:rPr>
        <w:t>who</w:t>
      </w:r>
      <w:r>
        <w:rPr>
          <w:spacing w:val="-5"/>
          <w:w w:val="105"/>
        </w:rPr>
        <w:t xml:space="preserve"> </w:t>
      </w:r>
      <w:r>
        <w:rPr>
          <w:w w:val="105"/>
        </w:rPr>
        <w:t>have</w:t>
      </w:r>
      <w:r>
        <w:rPr>
          <w:spacing w:val="-6"/>
          <w:w w:val="105"/>
        </w:rPr>
        <w:t xml:space="preserve"> </w:t>
      </w:r>
      <w:r>
        <w:rPr>
          <w:w w:val="105"/>
        </w:rPr>
        <w:t>few</w:t>
      </w:r>
      <w:r>
        <w:rPr>
          <w:spacing w:val="-4"/>
          <w:w w:val="105"/>
        </w:rPr>
        <w:t xml:space="preserve"> </w:t>
      </w:r>
      <w:r>
        <w:rPr>
          <w:w w:val="105"/>
        </w:rPr>
        <w:t>or</w:t>
      </w:r>
      <w:r>
        <w:rPr>
          <w:spacing w:val="-11"/>
          <w:w w:val="105"/>
        </w:rPr>
        <w:t xml:space="preserve"> </w:t>
      </w:r>
      <w:r>
        <w:rPr>
          <w:w w:val="105"/>
        </w:rPr>
        <w:t>no symptoms. Because of the hidden nature of this threat, it is the policy of this business to require the</w:t>
      </w:r>
      <w:r>
        <w:rPr>
          <w:spacing w:val="-6"/>
          <w:w w:val="105"/>
        </w:rPr>
        <w:t xml:space="preserve"> </w:t>
      </w:r>
      <w:r>
        <w:rPr>
          <w:w w:val="105"/>
        </w:rPr>
        <w:t>following:</w:t>
      </w:r>
    </w:p>
    <w:p w14:paraId="1B733680" w14:textId="77777777" w:rsidR="00E42E9F" w:rsidRDefault="00E42E9F" w:rsidP="00E42E9F">
      <w:pPr>
        <w:spacing w:before="13" w:line="252" w:lineRule="auto"/>
        <w:ind w:left="20" w:right="17" w:firstLine="1"/>
        <w:jc w:val="both"/>
        <w:rPr>
          <w:b/>
          <w:w w:val="105"/>
          <w:sz w:val="21"/>
        </w:rPr>
      </w:pPr>
    </w:p>
    <w:p w14:paraId="2DFE800D" w14:textId="77777777" w:rsidR="00E42E9F" w:rsidRDefault="00E42E9F" w:rsidP="00E42E9F">
      <w:pPr>
        <w:pStyle w:val="BodyText"/>
        <w:numPr>
          <w:ilvl w:val="0"/>
          <w:numId w:val="1"/>
        </w:numPr>
        <w:spacing w:line="252" w:lineRule="auto"/>
        <w:ind w:right="39"/>
        <w:jc w:val="both"/>
        <w:rPr>
          <w:w w:val="105"/>
        </w:rPr>
      </w:pPr>
      <w:r>
        <w:rPr>
          <w:b/>
          <w:w w:val="105"/>
        </w:rPr>
        <w:t xml:space="preserve">FACE COVERING REQUIRED IN ORDER TO ENTER AND REMAIN ON PREMISES. </w:t>
      </w:r>
      <w:r>
        <w:rPr>
          <w:w w:val="105"/>
        </w:rPr>
        <w:t>All persons over the</w:t>
      </w:r>
      <w:r>
        <w:rPr>
          <w:spacing w:val="-9"/>
          <w:w w:val="105"/>
        </w:rPr>
        <w:t xml:space="preserve"> </w:t>
      </w:r>
      <w:r>
        <w:rPr>
          <w:w w:val="105"/>
        </w:rPr>
        <w:t>age</w:t>
      </w:r>
      <w:r>
        <w:rPr>
          <w:spacing w:val="-7"/>
          <w:w w:val="105"/>
        </w:rPr>
        <w:t xml:space="preserve"> </w:t>
      </w:r>
      <w:r>
        <w:rPr>
          <w:w w:val="105"/>
        </w:rPr>
        <w:t>of</w:t>
      </w:r>
      <w:r>
        <w:rPr>
          <w:spacing w:val="-15"/>
          <w:w w:val="105"/>
        </w:rPr>
        <w:t xml:space="preserve"> </w:t>
      </w:r>
      <w:r>
        <w:rPr>
          <w:w w:val="105"/>
        </w:rPr>
        <w:t>ten</w:t>
      </w:r>
      <w:r>
        <w:rPr>
          <w:spacing w:val="-16"/>
          <w:w w:val="105"/>
        </w:rPr>
        <w:t xml:space="preserve"> </w:t>
      </w:r>
      <w:r>
        <w:rPr>
          <w:w w:val="105"/>
        </w:rPr>
        <w:t>(10),</w:t>
      </w:r>
      <w:r>
        <w:rPr>
          <w:spacing w:val="-11"/>
          <w:w w:val="105"/>
        </w:rPr>
        <w:t xml:space="preserve"> </w:t>
      </w:r>
      <w:r>
        <w:rPr>
          <w:w w:val="105"/>
        </w:rPr>
        <w:t>including</w:t>
      </w:r>
      <w:r>
        <w:rPr>
          <w:spacing w:val="-9"/>
          <w:w w:val="105"/>
        </w:rPr>
        <w:t xml:space="preserve"> </w:t>
      </w:r>
      <w:r>
        <w:rPr>
          <w:w w:val="105"/>
        </w:rPr>
        <w:t>employees,</w:t>
      </w:r>
      <w:r>
        <w:rPr>
          <w:spacing w:val="-2"/>
          <w:w w:val="105"/>
        </w:rPr>
        <w:t xml:space="preserve"> </w:t>
      </w:r>
      <w:r>
        <w:rPr>
          <w:w w:val="105"/>
        </w:rPr>
        <w:t>customers,</w:t>
      </w:r>
      <w:r>
        <w:rPr>
          <w:spacing w:val="-2"/>
          <w:w w:val="105"/>
        </w:rPr>
        <w:t xml:space="preserve"> </w:t>
      </w:r>
      <w:r>
        <w:rPr>
          <w:w w:val="105"/>
        </w:rPr>
        <w:t>visitors,</w:t>
      </w:r>
      <w:r>
        <w:rPr>
          <w:spacing w:val="-3"/>
          <w:w w:val="105"/>
        </w:rPr>
        <w:t xml:space="preserve"> </w:t>
      </w:r>
      <w:r>
        <w:rPr>
          <w:w w:val="105"/>
        </w:rPr>
        <w:t>invitees</w:t>
      </w:r>
      <w:r>
        <w:rPr>
          <w:spacing w:val="-1"/>
          <w:w w:val="105"/>
        </w:rPr>
        <w:t xml:space="preserve"> </w:t>
      </w:r>
      <w:r>
        <w:rPr>
          <w:w w:val="105"/>
        </w:rPr>
        <w:t>and</w:t>
      </w:r>
      <w:r>
        <w:rPr>
          <w:spacing w:val="-15"/>
          <w:w w:val="105"/>
        </w:rPr>
        <w:t xml:space="preserve"> </w:t>
      </w:r>
      <w:r>
        <w:rPr>
          <w:w w:val="105"/>
        </w:rPr>
        <w:t>contractors</w:t>
      </w:r>
      <w:r>
        <w:rPr>
          <w:spacing w:val="-4"/>
          <w:w w:val="105"/>
        </w:rPr>
        <w:t xml:space="preserve"> </w:t>
      </w:r>
      <w:r>
        <w:rPr>
          <w:w w:val="105"/>
        </w:rPr>
        <w:t>("Patrons"),</w:t>
      </w:r>
      <w:r>
        <w:rPr>
          <w:spacing w:val="5"/>
          <w:w w:val="105"/>
        </w:rPr>
        <w:t xml:space="preserve"> </w:t>
      </w:r>
      <w:r>
        <w:rPr>
          <w:w w:val="105"/>
        </w:rPr>
        <w:t>who</w:t>
      </w:r>
      <w:r>
        <w:rPr>
          <w:spacing w:val="-6"/>
          <w:w w:val="105"/>
        </w:rPr>
        <w:t xml:space="preserve"> </w:t>
      </w:r>
      <w:r>
        <w:rPr>
          <w:w w:val="105"/>
        </w:rPr>
        <w:t>enter this business must wear a face covering over their nose and mouth, such as a homemade mask, scarf, bandana, or</w:t>
      </w:r>
      <w:r>
        <w:rPr>
          <w:spacing w:val="13"/>
          <w:w w:val="105"/>
        </w:rPr>
        <w:t xml:space="preserve"> </w:t>
      </w:r>
      <w:r>
        <w:rPr>
          <w:w w:val="105"/>
        </w:rPr>
        <w:t>handkerchief.</w:t>
      </w:r>
      <w:r w:rsidRPr="00581927">
        <w:rPr>
          <w:w w:val="105"/>
        </w:rPr>
        <w:t xml:space="preserve"> </w:t>
      </w:r>
    </w:p>
    <w:p w14:paraId="17834B5E" w14:textId="77777777" w:rsidR="00E42E9F" w:rsidRDefault="00E42E9F" w:rsidP="00E42E9F">
      <w:pPr>
        <w:pStyle w:val="BodyText"/>
        <w:numPr>
          <w:ilvl w:val="1"/>
          <w:numId w:val="1"/>
        </w:numPr>
        <w:spacing w:line="252" w:lineRule="auto"/>
        <w:ind w:right="39"/>
        <w:jc w:val="both"/>
      </w:pPr>
      <w:r>
        <w:rPr>
          <w:w w:val="105"/>
        </w:rPr>
        <w:t>The</w:t>
      </w:r>
      <w:r>
        <w:rPr>
          <w:spacing w:val="-5"/>
          <w:w w:val="105"/>
        </w:rPr>
        <w:t xml:space="preserve"> </w:t>
      </w:r>
      <w:r>
        <w:rPr>
          <w:w w:val="105"/>
        </w:rPr>
        <w:t>requirement</w:t>
      </w:r>
      <w:r>
        <w:rPr>
          <w:spacing w:val="6"/>
          <w:w w:val="105"/>
        </w:rPr>
        <w:t xml:space="preserve"> </w:t>
      </w:r>
      <w:r>
        <w:rPr>
          <w:w w:val="105"/>
        </w:rPr>
        <w:t>of</w:t>
      </w:r>
      <w:r>
        <w:rPr>
          <w:spacing w:val="-10"/>
          <w:w w:val="105"/>
        </w:rPr>
        <w:t xml:space="preserve"> </w:t>
      </w:r>
      <w:r>
        <w:rPr>
          <w:w w:val="105"/>
        </w:rPr>
        <w:t>a</w:t>
      </w:r>
      <w:r>
        <w:rPr>
          <w:spacing w:val="-16"/>
          <w:w w:val="105"/>
        </w:rPr>
        <w:t xml:space="preserve"> </w:t>
      </w:r>
      <w:r>
        <w:rPr>
          <w:w w:val="105"/>
        </w:rPr>
        <w:t>face</w:t>
      </w:r>
      <w:r>
        <w:rPr>
          <w:spacing w:val="-10"/>
          <w:w w:val="105"/>
        </w:rPr>
        <w:t xml:space="preserve"> </w:t>
      </w:r>
      <w:r>
        <w:rPr>
          <w:w w:val="105"/>
        </w:rPr>
        <w:t>covering</w:t>
      </w:r>
      <w:r>
        <w:rPr>
          <w:spacing w:val="-5"/>
          <w:w w:val="105"/>
        </w:rPr>
        <w:t xml:space="preserve"> </w:t>
      </w:r>
      <w:r>
        <w:rPr>
          <w:w w:val="105"/>
        </w:rPr>
        <w:t>does</w:t>
      </w:r>
      <w:r>
        <w:rPr>
          <w:spacing w:val="-9"/>
          <w:w w:val="105"/>
        </w:rPr>
        <w:t xml:space="preserve"> </w:t>
      </w:r>
      <w:r>
        <w:rPr>
          <w:w w:val="105"/>
        </w:rPr>
        <w:t>not</w:t>
      </w:r>
      <w:r>
        <w:rPr>
          <w:spacing w:val="-7"/>
          <w:w w:val="105"/>
        </w:rPr>
        <w:t xml:space="preserve"> </w:t>
      </w:r>
      <w:r>
        <w:rPr>
          <w:w w:val="105"/>
        </w:rPr>
        <w:t>apply</w:t>
      </w:r>
      <w:r>
        <w:rPr>
          <w:spacing w:val="-4"/>
          <w:w w:val="105"/>
        </w:rPr>
        <w:t xml:space="preserve"> </w:t>
      </w:r>
      <w:r>
        <w:rPr>
          <w:w w:val="105"/>
        </w:rPr>
        <w:t>if</w:t>
      </w:r>
      <w:r>
        <w:rPr>
          <w:spacing w:val="-12"/>
          <w:w w:val="105"/>
        </w:rPr>
        <w:t xml:space="preserve"> </w:t>
      </w:r>
      <w:r>
        <w:rPr>
          <w:w w:val="105"/>
        </w:rPr>
        <w:t>covering</w:t>
      </w:r>
      <w:r>
        <w:rPr>
          <w:spacing w:val="-10"/>
          <w:w w:val="105"/>
        </w:rPr>
        <w:t xml:space="preserve"> </w:t>
      </w:r>
      <w:r>
        <w:rPr>
          <w:w w:val="105"/>
        </w:rPr>
        <w:t>the</w:t>
      </w:r>
      <w:r>
        <w:rPr>
          <w:spacing w:val="-11"/>
          <w:w w:val="105"/>
        </w:rPr>
        <w:t xml:space="preserve"> </w:t>
      </w:r>
      <w:r>
        <w:rPr>
          <w:w w:val="105"/>
        </w:rPr>
        <w:t>nose</w:t>
      </w:r>
      <w:r>
        <w:rPr>
          <w:spacing w:val="-13"/>
          <w:w w:val="105"/>
        </w:rPr>
        <w:t xml:space="preserve"> </w:t>
      </w:r>
      <w:r>
        <w:rPr>
          <w:w w:val="105"/>
        </w:rPr>
        <w:t>and</w:t>
      </w:r>
      <w:r>
        <w:rPr>
          <w:spacing w:val="-14"/>
          <w:w w:val="105"/>
        </w:rPr>
        <w:t xml:space="preserve"> </w:t>
      </w:r>
      <w:r>
        <w:rPr>
          <w:w w:val="105"/>
        </w:rPr>
        <w:t>mouth</w:t>
      </w:r>
      <w:r>
        <w:rPr>
          <w:spacing w:val="-10"/>
          <w:w w:val="105"/>
        </w:rPr>
        <w:t xml:space="preserve"> </w:t>
      </w:r>
      <w:r>
        <w:rPr>
          <w:w w:val="105"/>
        </w:rPr>
        <w:t>poses</w:t>
      </w:r>
      <w:r>
        <w:rPr>
          <w:spacing w:val="-3"/>
          <w:w w:val="105"/>
        </w:rPr>
        <w:t xml:space="preserve"> </w:t>
      </w:r>
      <w:r>
        <w:rPr>
          <w:w w:val="105"/>
        </w:rPr>
        <w:t>a</w:t>
      </w:r>
      <w:r>
        <w:rPr>
          <w:spacing w:val="-11"/>
          <w:w w:val="105"/>
        </w:rPr>
        <w:t xml:space="preserve"> </w:t>
      </w:r>
      <w:r>
        <w:rPr>
          <w:w w:val="105"/>
        </w:rPr>
        <w:t>significant mental or physical health risk to the</w:t>
      </w:r>
      <w:r>
        <w:rPr>
          <w:spacing w:val="-2"/>
          <w:w w:val="105"/>
        </w:rPr>
        <w:t xml:space="preserve"> </w:t>
      </w:r>
      <w:r>
        <w:rPr>
          <w:w w:val="105"/>
        </w:rPr>
        <w:t>individual.</w:t>
      </w:r>
    </w:p>
    <w:p w14:paraId="22EF040E" w14:textId="2A47C037" w:rsidR="00E42E9F" w:rsidRPr="00936CF1" w:rsidRDefault="00E42E9F" w:rsidP="00E42E9F">
      <w:pPr>
        <w:pStyle w:val="BodyText"/>
        <w:numPr>
          <w:ilvl w:val="1"/>
          <w:numId w:val="1"/>
        </w:numPr>
        <w:spacing w:line="252" w:lineRule="auto"/>
        <w:ind w:right="39"/>
        <w:jc w:val="both"/>
      </w:pPr>
      <w:r w:rsidRPr="00581927">
        <w:rPr>
          <w:w w:val="105"/>
        </w:rPr>
        <w:t>The requirement of a face covering also does not apply when an individual is consuming a food or beverage or receiving a service where the wearing of a mask would impair the performance of the service.</w:t>
      </w:r>
    </w:p>
    <w:p w14:paraId="1DA5D952" w14:textId="3118C95E" w:rsidR="00936CF1" w:rsidRPr="00581927" w:rsidRDefault="00936CF1" w:rsidP="00E42E9F">
      <w:pPr>
        <w:pStyle w:val="BodyText"/>
        <w:numPr>
          <w:ilvl w:val="1"/>
          <w:numId w:val="1"/>
        </w:numPr>
        <w:spacing w:line="252" w:lineRule="auto"/>
        <w:ind w:right="39"/>
        <w:jc w:val="both"/>
      </w:pPr>
      <w:r>
        <w:rPr>
          <w:w w:val="105"/>
        </w:rPr>
        <w:t>The requirement of a face covering does not apply if covering the nose and mouth poses a significant mental or physical health risk to the individual.</w:t>
      </w:r>
      <w:bookmarkStart w:id="0" w:name="_GoBack"/>
      <w:bookmarkEnd w:id="0"/>
    </w:p>
    <w:p w14:paraId="467B5BB0" w14:textId="77777777" w:rsidR="00E42E9F" w:rsidRDefault="00E42E9F" w:rsidP="00E42E9F">
      <w:pPr>
        <w:pStyle w:val="BodyText"/>
        <w:spacing w:line="252" w:lineRule="auto"/>
        <w:ind w:left="743" w:right="39"/>
        <w:jc w:val="both"/>
      </w:pPr>
    </w:p>
    <w:p w14:paraId="0579372C" w14:textId="77777777" w:rsidR="00E42E9F" w:rsidRPr="00581927" w:rsidRDefault="00E42E9F" w:rsidP="00E42E9F">
      <w:pPr>
        <w:pStyle w:val="ListParagraph"/>
        <w:numPr>
          <w:ilvl w:val="0"/>
          <w:numId w:val="1"/>
        </w:numPr>
        <w:spacing w:before="13" w:line="252" w:lineRule="auto"/>
        <w:rPr>
          <w:sz w:val="21"/>
        </w:rPr>
      </w:pPr>
      <w:r w:rsidRPr="00581927">
        <w:rPr>
          <w:b/>
          <w:w w:val="105"/>
          <w:sz w:val="21"/>
        </w:rPr>
        <w:t>SOCIAL</w:t>
      </w:r>
      <w:r w:rsidRPr="00581927">
        <w:rPr>
          <w:b/>
          <w:spacing w:val="-8"/>
          <w:w w:val="105"/>
          <w:sz w:val="21"/>
        </w:rPr>
        <w:t xml:space="preserve"> </w:t>
      </w:r>
      <w:r w:rsidRPr="00581927">
        <w:rPr>
          <w:b/>
          <w:w w:val="105"/>
          <w:sz w:val="21"/>
        </w:rPr>
        <w:t>DISTANCING</w:t>
      </w:r>
      <w:r w:rsidRPr="00581927">
        <w:rPr>
          <w:b/>
          <w:spacing w:val="-2"/>
          <w:w w:val="105"/>
          <w:sz w:val="21"/>
        </w:rPr>
        <w:t xml:space="preserve"> </w:t>
      </w:r>
      <w:r w:rsidRPr="00581927">
        <w:rPr>
          <w:b/>
          <w:w w:val="105"/>
          <w:sz w:val="21"/>
        </w:rPr>
        <w:t>PROTOCOLS.</w:t>
      </w:r>
      <w:r w:rsidRPr="00581927">
        <w:rPr>
          <w:b/>
          <w:spacing w:val="1"/>
          <w:w w:val="105"/>
          <w:sz w:val="21"/>
        </w:rPr>
        <w:t xml:space="preserve"> </w:t>
      </w:r>
      <w:r w:rsidRPr="00581927">
        <w:rPr>
          <w:w w:val="105"/>
          <w:sz w:val="21"/>
        </w:rPr>
        <w:t>Even</w:t>
      </w:r>
      <w:r w:rsidRPr="00581927">
        <w:rPr>
          <w:spacing w:val="-14"/>
          <w:w w:val="105"/>
          <w:sz w:val="21"/>
        </w:rPr>
        <w:t xml:space="preserve"> </w:t>
      </w:r>
      <w:r w:rsidRPr="00581927">
        <w:rPr>
          <w:w w:val="105"/>
          <w:sz w:val="21"/>
        </w:rPr>
        <w:t>with</w:t>
      </w:r>
      <w:r w:rsidRPr="00581927">
        <w:rPr>
          <w:spacing w:val="-18"/>
          <w:w w:val="105"/>
          <w:sz w:val="21"/>
        </w:rPr>
        <w:t xml:space="preserve"> </w:t>
      </w:r>
      <w:r w:rsidRPr="00581927">
        <w:rPr>
          <w:w w:val="105"/>
          <w:sz w:val="21"/>
        </w:rPr>
        <w:t>the</w:t>
      </w:r>
      <w:r w:rsidRPr="00581927">
        <w:rPr>
          <w:spacing w:val="-18"/>
          <w:w w:val="105"/>
          <w:sz w:val="21"/>
        </w:rPr>
        <w:t xml:space="preserve"> </w:t>
      </w:r>
      <w:r w:rsidRPr="00581927">
        <w:rPr>
          <w:w w:val="105"/>
          <w:sz w:val="21"/>
        </w:rPr>
        <w:t>use</w:t>
      </w:r>
      <w:r w:rsidRPr="00581927">
        <w:rPr>
          <w:spacing w:val="-17"/>
          <w:w w:val="105"/>
          <w:sz w:val="21"/>
        </w:rPr>
        <w:t xml:space="preserve"> </w:t>
      </w:r>
      <w:r w:rsidRPr="00581927">
        <w:rPr>
          <w:w w:val="105"/>
          <w:sz w:val="21"/>
        </w:rPr>
        <w:t>of</w:t>
      </w:r>
      <w:r w:rsidRPr="00581927">
        <w:rPr>
          <w:spacing w:val="-19"/>
          <w:w w:val="105"/>
          <w:sz w:val="21"/>
        </w:rPr>
        <w:t xml:space="preserve"> </w:t>
      </w:r>
      <w:r w:rsidRPr="00581927">
        <w:rPr>
          <w:w w:val="105"/>
          <w:sz w:val="21"/>
        </w:rPr>
        <w:t>appropriate</w:t>
      </w:r>
      <w:r w:rsidRPr="00581927">
        <w:rPr>
          <w:spacing w:val="-8"/>
          <w:w w:val="105"/>
          <w:sz w:val="21"/>
        </w:rPr>
        <w:t xml:space="preserve"> </w:t>
      </w:r>
      <w:r w:rsidRPr="00581927">
        <w:rPr>
          <w:w w:val="105"/>
          <w:sz w:val="21"/>
        </w:rPr>
        <w:t>face</w:t>
      </w:r>
      <w:r w:rsidRPr="00581927">
        <w:rPr>
          <w:spacing w:val="-18"/>
          <w:w w:val="105"/>
          <w:sz w:val="21"/>
        </w:rPr>
        <w:t xml:space="preserve"> </w:t>
      </w:r>
      <w:r w:rsidRPr="00581927">
        <w:rPr>
          <w:w w:val="105"/>
          <w:sz w:val="21"/>
        </w:rPr>
        <w:t>coverings,</w:t>
      </w:r>
      <w:r w:rsidRPr="00581927">
        <w:rPr>
          <w:spacing w:val="-12"/>
          <w:w w:val="105"/>
          <w:sz w:val="21"/>
        </w:rPr>
        <w:t xml:space="preserve"> </w:t>
      </w:r>
      <w:r w:rsidRPr="00581927">
        <w:rPr>
          <w:w w:val="105"/>
          <w:sz w:val="21"/>
        </w:rPr>
        <w:t>individuals</w:t>
      </w:r>
      <w:r w:rsidRPr="00581927">
        <w:rPr>
          <w:spacing w:val="-6"/>
          <w:w w:val="105"/>
          <w:sz w:val="21"/>
        </w:rPr>
        <w:t xml:space="preserve"> </w:t>
      </w:r>
      <w:r w:rsidRPr="00581927">
        <w:rPr>
          <w:w w:val="105"/>
          <w:sz w:val="21"/>
        </w:rPr>
        <w:t>should maintain six feet of social distancing whenever</w:t>
      </w:r>
      <w:r w:rsidRPr="00581927">
        <w:rPr>
          <w:spacing w:val="49"/>
          <w:w w:val="105"/>
          <w:sz w:val="21"/>
        </w:rPr>
        <w:t xml:space="preserve"> </w:t>
      </w:r>
      <w:r w:rsidRPr="00581927">
        <w:rPr>
          <w:w w:val="105"/>
          <w:sz w:val="21"/>
        </w:rPr>
        <w:t>possible.</w:t>
      </w:r>
    </w:p>
    <w:p w14:paraId="16464A5C" w14:textId="77777777" w:rsidR="00E42E9F" w:rsidRPr="00581927" w:rsidRDefault="00E42E9F" w:rsidP="00E42E9F">
      <w:pPr>
        <w:pStyle w:val="ListParagraph"/>
        <w:numPr>
          <w:ilvl w:val="1"/>
          <w:numId w:val="1"/>
        </w:numPr>
        <w:spacing w:before="13" w:line="252" w:lineRule="auto"/>
        <w:rPr>
          <w:sz w:val="21"/>
        </w:rPr>
      </w:pPr>
      <w:r w:rsidRPr="00581927">
        <w:rPr>
          <w:w w:val="105"/>
        </w:rPr>
        <w:t>Employees should not work within six (6) feet of one another, except to the extent necessary to provide services.</w:t>
      </w:r>
    </w:p>
    <w:p w14:paraId="219F67D1" w14:textId="77777777" w:rsidR="00E42E9F" w:rsidRPr="00581927" w:rsidRDefault="00E42E9F" w:rsidP="00E42E9F">
      <w:pPr>
        <w:pStyle w:val="ListParagraph"/>
        <w:numPr>
          <w:ilvl w:val="1"/>
          <w:numId w:val="1"/>
        </w:numPr>
        <w:spacing w:before="13" w:line="252" w:lineRule="auto"/>
        <w:rPr>
          <w:sz w:val="21"/>
        </w:rPr>
      </w:pPr>
      <w:r w:rsidRPr="00581927">
        <w:rPr>
          <w:w w:val="105"/>
        </w:rPr>
        <w:t>Patrons should maintain six (6) feet of separation from other individuals outside their household, to the extent feasible when inside the business premises.</w:t>
      </w:r>
    </w:p>
    <w:p w14:paraId="7B5E7FD5" w14:textId="58DC37FF" w:rsidR="00E42E9F" w:rsidRPr="00E42E9F" w:rsidRDefault="00E42E9F" w:rsidP="00E42E9F">
      <w:pPr>
        <w:pStyle w:val="BodyText"/>
        <w:numPr>
          <w:ilvl w:val="1"/>
          <w:numId w:val="1"/>
        </w:numPr>
        <w:spacing w:line="252" w:lineRule="auto"/>
        <w:ind w:right="39"/>
        <w:jc w:val="both"/>
      </w:pPr>
      <w:r>
        <w:rPr>
          <w:w w:val="105"/>
        </w:rPr>
        <w:t>Patrons of the business queuing or waiting inside or on the premises of the business must maintain six (6) feet of separation from other individuals outside their household.</w:t>
      </w:r>
    </w:p>
    <w:p w14:paraId="135D04A9" w14:textId="77777777" w:rsidR="00E42E9F" w:rsidRPr="00581927" w:rsidRDefault="00E42E9F" w:rsidP="00E42E9F">
      <w:pPr>
        <w:pStyle w:val="BodyText"/>
        <w:spacing w:line="252" w:lineRule="auto"/>
        <w:ind w:left="1103" w:right="39"/>
        <w:jc w:val="both"/>
      </w:pPr>
    </w:p>
    <w:p w14:paraId="735B1672" w14:textId="77777777" w:rsidR="00E42E9F" w:rsidRPr="00581927" w:rsidRDefault="00E42E9F" w:rsidP="00E42E9F">
      <w:pPr>
        <w:pStyle w:val="BodyText"/>
        <w:numPr>
          <w:ilvl w:val="0"/>
          <w:numId w:val="1"/>
        </w:numPr>
        <w:spacing w:line="252" w:lineRule="auto"/>
        <w:ind w:right="39"/>
        <w:jc w:val="both"/>
      </w:pPr>
      <w:r>
        <w:rPr>
          <w:b/>
          <w:w w:val="105"/>
        </w:rPr>
        <w:t xml:space="preserve">VIOLATIONS. </w:t>
      </w:r>
      <w:r>
        <w:rPr>
          <w:w w:val="105"/>
        </w:rPr>
        <w:t>Patrons who do not wear a face covering will be asked to leave the premises and will not be provided goods or services until the face covering requirements are followed.</w:t>
      </w:r>
    </w:p>
    <w:p w14:paraId="08790E3A" w14:textId="77777777" w:rsidR="00E42E9F" w:rsidRPr="00581927" w:rsidRDefault="00E42E9F" w:rsidP="00E42E9F">
      <w:pPr>
        <w:pStyle w:val="BodyText"/>
        <w:spacing w:line="252" w:lineRule="auto"/>
        <w:ind w:left="383" w:right="39"/>
        <w:jc w:val="both"/>
      </w:pPr>
    </w:p>
    <w:p w14:paraId="27236F75" w14:textId="77777777" w:rsidR="00E42E9F" w:rsidRDefault="00E42E9F" w:rsidP="00E42E9F">
      <w:pPr>
        <w:pStyle w:val="BodyText"/>
        <w:numPr>
          <w:ilvl w:val="0"/>
          <w:numId w:val="1"/>
        </w:numPr>
        <w:spacing w:line="252" w:lineRule="auto"/>
        <w:ind w:right="39"/>
        <w:jc w:val="both"/>
      </w:pPr>
      <w:r>
        <w:rPr>
          <w:b/>
          <w:w w:val="105"/>
        </w:rPr>
        <w:t xml:space="preserve">NOTICE AND SIGNAGE. </w:t>
      </w:r>
      <w:r>
        <w:rPr>
          <w:w w:val="105"/>
        </w:rPr>
        <w:t>Notice of this Health and Safety Policy will be posted in a conspicuous location of the business.</w:t>
      </w:r>
    </w:p>
    <w:p w14:paraId="1577B1AD" w14:textId="77777777" w:rsidR="00E42E9F" w:rsidRDefault="00E42E9F" w:rsidP="00E42E9F">
      <w:pPr>
        <w:spacing w:before="13" w:line="252" w:lineRule="auto"/>
        <w:ind w:left="20" w:right="17" w:firstLine="1"/>
        <w:jc w:val="both"/>
        <w:rPr>
          <w:sz w:val="21"/>
        </w:rPr>
      </w:pPr>
    </w:p>
    <w:p w14:paraId="31A61D5C" w14:textId="1842B1AD" w:rsidR="00E42E9F" w:rsidRDefault="00E42E9F" w:rsidP="00E42E9F">
      <w:pPr>
        <w:rPr>
          <w:rFonts w:ascii="Arial" w:hAnsi="Arial" w:cs="Arial"/>
          <w:b/>
          <w:w w:val="105"/>
        </w:rPr>
      </w:pPr>
    </w:p>
    <w:p w14:paraId="51A6F796" w14:textId="77777777" w:rsidR="00E42E9F" w:rsidRPr="00E42E9F" w:rsidRDefault="00E42E9F" w:rsidP="00E42E9F">
      <w:pPr>
        <w:rPr>
          <w:rFonts w:ascii="Arial" w:hAnsi="Arial" w:cs="Arial"/>
          <w:b/>
          <w:w w:val="105"/>
        </w:rPr>
      </w:pPr>
    </w:p>
    <w:p w14:paraId="1AED1C77" w14:textId="2DD56324" w:rsidR="00E42E9F" w:rsidRPr="00E42E9F" w:rsidRDefault="00E42E9F" w:rsidP="00E42E9F">
      <w:pPr>
        <w:rPr>
          <w:rFonts w:ascii="Arial" w:hAnsi="Arial" w:cs="Arial"/>
          <w:sz w:val="21"/>
          <w:szCs w:val="21"/>
        </w:rPr>
      </w:pPr>
      <w:r>
        <w:rPr>
          <w:rFonts w:ascii="Arial" w:hAnsi="Arial" w:cs="Arial"/>
          <w:b/>
          <w:w w:val="105"/>
          <w:sz w:val="21"/>
          <w:szCs w:val="21"/>
          <w:u w:val="single"/>
        </w:rPr>
        <w:t>PLEASE</w:t>
      </w:r>
      <w:r w:rsidRPr="00E42E9F">
        <w:rPr>
          <w:rFonts w:ascii="Arial" w:hAnsi="Arial" w:cs="Arial"/>
          <w:b/>
          <w:w w:val="105"/>
          <w:sz w:val="21"/>
          <w:szCs w:val="21"/>
          <w:u w:val="single"/>
        </w:rPr>
        <w:t xml:space="preserve"> NOTE</w:t>
      </w:r>
      <w:r w:rsidRPr="00E42E9F">
        <w:rPr>
          <w:rFonts w:ascii="Arial" w:hAnsi="Arial" w:cs="Arial"/>
          <w:b/>
          <w:w w:val="105"/>
          <w:sz w:val="21"/>
          <w:szCs w:val="21"/>
        </w:rPr>
        <w:t xml:space="preserve">: This sample document is provided solely for informational purposes and no portion hereof shall be construed as legal advice nor is this document intended to be used for any specific business or purpose. Any business that intends to use this document </w:t>
      </w:r>
      <w:r w:rsidR="002F0EBE">
        <w:rPr>
          <w:rFonts w:ascii="Arial" w:hAnsi="Arial" w:cs="Arial"/>
          <w:b/>
          <w:w w:val="105"/>
          <w:sz w:val="21"/>
          <w:szCs w:val="21"/>
        </w:rPr>
        <w:t>should</w:t>
      </w:r>
      <w:r w:rsidRPr="00E42E9F">
        <w:rPr>
          <w:rFonts w:ascii="Arial" w:hAnsi="Arial" w:cs="Arial"/>
          <w:b/>
          <w:w w:val="105"/>
          <w:sz w:val="21"/>
          <w:szCs w:val="21"/>
        </w:rPr>
        <w:t xml:space="preserve"> consult with its own legal counsel </w:t>
      </w:r>
      <w:r w:rsidR="002F0EBE">
        <w:rPr>
          <w:rFonts w:ascii="Arial" w:hAnsi="Arial" w:cs="Arial"/>
          <w:b/>
          <w:w w:val="105"/>
          <w:sz w:val="21"/>
          <w:szCs w:val="21"/>
        </w:rPr>
        <w:t xml:space="preserve">concerning this document’s suitability for a particular use </w:t>
      </w:r>
      <w:r w:rsidRPr="00E42E9F">
        <w:rPr>
          <w:rFonts w:ascii="Arial" w:hAnsi="Arial" w:cs="Arial"/>
          <w:b/>
          <w:w w:val="105"/>
          <w:sz w:val="21"/>
          <w:szCs w:val="21"/>
        </w:rPr>
        <w:t>and should carefully review</w:t>
      </w:r>
      <w:r>
        <w:rPr>
          <w:rFonts w:ascii="Arial" w:hAnsi="Arial" w:cs="Arial"/>
          <w:b/>
          <w:w w:val="105"/>
          <w:sz w:val="21"/>
          <w:szCs w:val="21"/>
        </w:rPr>
        <w:t xml:space="preserve"> </w:t>
      </w:r>
      <w:r w:rsidR="002F0EBE">
        <w:rPr>
          <w:rFonts w:ascii="Arial" w:hAnsi="Arial" w:cs="Arial"/>
          <w:b/>
          <w:w w:val="105"/>
          <w:sz w:val="21"/>
          <w:szCs w:val="21"/>
        </w:rPr>
        <w:t>the same to ensure compliance with</w:t>
      </w:r>
      <w:r w:rsidRPr="00E42E9F">
        <w:rPr>
          <w:rFonts w:ascii="Arial" w:hAnsi="Arial" w:cs="Arial"/>
          <w:b/>
          <w:w w:val="105"/>
          <w:sz w:val="21"/>
          <w:szCs w:val="21"/>
        </w:rPr>
        <w:t xml:space="preserve"> </w:t>
      </w:r>
      <w:r w:rsidRPr="00E42E9F">
        <w:rPr>
          <w:rFonts w:ascii="Arial" w:hAnsi="Arial" w:cs="Arial"/>
          <w:b/>
          <w:bCs/>
          <w:w w:val="105"/>
          <w:sz w:val="21"/>
          <w:szCs w:val="21"/>
        </w:rPr>
        <w:t xml:space="preserve">the Executive Order of Tarrant Co. Judge B. Glen Whitley issued on June 25, 2020, available on Tarrant County’s website at: </w:t>
      </w:r>
      <w:hyperlink r:id="rId7" w:history="1">
        <w:r w:rsidRPr="00E42E9F">
          <w:rPr>
            <w:rStyle w:val="Hyperlink"/>
            <w:rFonts w:ascii="Arial" w:eastAsia="Arial" w:hAnsi="Arial" w:cs="Arial"/>
            <w:sz w:val="21"/>
            <w:szCs w:val="21"/>
          </w:rPr>
          <w:t>https://www.tarrantcounty.com/content/main/en/county/tarrant-county-covid-19-information.html</w:t>
        </w:r>
      </w:hyperlink>
    </w:p>
    <w:p w14:paraId="565C8BF5" w14:textId="1569C199" w:rsidR="00D02E15" w:rsidRDefault="00936CF1" w:rsidP="00E42E9F"/>
    <w:sectPr w:rsidR="00D02E15" w:rsidSect="006C0A8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9BE44" w14:textId="77777777" w:rsidR="00543112" w:rsidRDefault="00543112" w:rsidP="00E42E9F">
      <w:r>
        <w:separator/>
      </w:r>
    </w:p>
  </w:endnote>
  <w:endnote w:type="continuationSeparator" w:id="0">
    <w:p w14:paraId="6C54F48F" w14:textId="77777777" w:rsidR="00543112" w:rsidRDefault="00543112" w:rsidP="00E4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3A400" w14:textId="77777777" w:rsidR="00E42E9F" w:rsidRDefault="00E42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76081" w14:textId="77777777" w:rsidR="00E42E9F" w:rsidRDefault="00E42E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4C7B0" w14:textId="77777777" w:rsidR="00E42E9F" w:rsidRDefault="00E42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3B82E" w14:textId="77777777" w:rsidR="00543112" w:rsidRDefault="00543112" w:rsidP="00E42E9F">
      <w:r>
        <w:separator/>
      </w:r>
    </w:p>
  </w:footnote>
  <w:footnote w:type="continuationSeparator" w:id="0">
    <w:p w14:paraId="66C85350" w14:textId="77777777" w:rsidR="00543112" w:rsidRDefault="00543112" w:rsidP="00E42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E9F84" w14:textId="67BA3C9D" w:rsidR="00E42E9F" w:rsidRDefault="00E42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4DF52" w14:textId="6EB44346" w:rsidR="00E42E9F" w:rsidRDefault="00E42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67589" w14:textId="1D12725E" w:rsidR="00E42E9F" w:rsidRDefault="00E42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C6F0A"/>
    <w:multiLevelType w:val="hybridMultilevel"/>
    <w:tmpl w:val="B108FAE2"/>
    <w:lvl w:ilvl="0" w:tplc="0CFA1AB4">
      <w:start w:val="1"/>
      <w:numFmt w:val="decimal"/>
      <w:lvlText w:val="%1."/>
      <w:lvlJc w:val="left"/>
      <w:pPr>
        <w:ind w:left="383" w:hanging="360"/>
      </w:pPr>
      <w:rPr>
        <w:rFonts w:hint="default"/>
        <w:b/>
      </w:rPr>
    </w:lvl>
    <w:lvl w:ilvl="1" w:tplc="04090019">
      <w:start w:val="1"/>
      <w:numFmt w:val="lowerLetter"/>
      <w:lvlText w:val="%2."/>
      <w:lvlJc w:val="left"/>
      <w:pPr>
        <w:ind w:left="1103" w:hanging="360"/>
      </w:pPr>
    </w:lvl>
    <w:lvl w:ilvl="2" w:tplc="0409001B">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E9F"/>
    <w:rsid w:val="00265BD3"/>
    <w:rsid w:val="002F0EBE"/>
    <w:rsid w:val="003C67D4"/>
    <w:rsid w:val="00543112"/>
    <w:rsid w:val="006C0A88"/>
    <w:rsid w:val="00936CF1"/>
    <w:rsid w:val="00E42E9F"/>
    <w:rsid w:val="00F00D2F"/>
    <w:rsid w:val="00FA6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041E8B"/>
  <w15:chartTrackingRefBased/>
  <w15:docId w15:val="{90219EBA-85B3-394B-8F00-AEE0951A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E9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2E9F"/>
    <w:pPr>
      <w:widowControl w:val="0"/>
      <w:autoSpaceDE w:val="0"/>
      <w:autoSpaceDN w:val="0"/>
      <w:spacing w:before="13"/>
      <w:ind w:left="20"/>
    </w:pPr>
    <w:rPr>
      <w:rFonts w:ascii="Arial" w:eastAsia="Arial" w:hAnsi="Arial" w:cs="Arial"/>
      <w:sz w:val="21"/>
      <w:szCs w:val="21"/>
    </w:rPr>
  </w:style>
  <w:style w:type="character" w:customStyle="1" w:styleId="BodyTextChar">
    <w:name w:val="Body Text Char"/>
    <w:basedOn w:val="DefaultParagraphFont"/>
    <w:link w:val="BodyText"/>
    <w:uiPriority w:val="1"/>
    <w:rsid w:val="00E42E9F"/>
    <w:rPr>
      <w:rFonts w:ascii="Arial" w:eastAsia="Arial" w:hAnsi="Arial" w:cs="Arial"/>
      <w:sz w:val="21"/>
      <w:szCs w:val="21"/>
    </w:rPr>
  </w:style>
  <w:style w:type="paragraph" w:styleId="ListParagraph">
    <w:name w:val="List Paragraph"/>
    <w:basedOn w:val="Normal"/>
    <w:uiPriority w:val="1"/>
    <w:qFormat/>
    <w:rsid w:val="00E42E9F"/>
    <w:pPr>
      <w:widowControl w:val="0"/>
      <w:autoSpaceDE w:val="0"/>
      <w:autoSpaceDN w:val="0"/>
    </w:pPr>
    <w:rPr>
      <w:rFonts w:ascii="Arial" w:eastAsia="Arial" w:hAnsi="Arial" w:cs="Arial"/>
      <w:sz w:val="22"/>
      <w:szCs w:val="22"/>
    </w:rPr>
  </w:style>
  <w:style w:type="paragraph" w:styleId="Header">
    <w:name w:val="header"/>
    <w:basedOn w:val="Normal"/>
    <w:link w:val="HeaderChar"/>
    <w:uiPriority w:val="99"/>
    <w:unhideWhenUsed/>
    <w:rsid w:val="00E42E9F"/>
    <w:pPr>
      <w:widowControl w:val="0"/>
      <w:tabs>
        <w:tab w:val="center" w:pos="4680"/>
        <w:tab w:val="right" w:pos="9360"/>
      </w:tabs>
      <w:autoSpaceDE w:val="0"/>
      <w:autoSpaceDN w:val="0"/>
    </w:pPr>
    <w:rPr>
      <w:rFonts w:ascii="Arial" w:eastAsia="Arial" w:hAnsi="Arial" w:cs="Arial"/>
      <w:sz w:val="22"/>
      <w:szCs w:val="22"/>
    </w:rPr>
  </w:style>
  <w:style w:type="character" w:customStyle="1" w:styleId="HeaderChar">
    <w:name w:val="Header Char"/>
    <w:basedOn w:val="DefaultParagraphFont"/>
    <w:link w:val="Header"/>
    <w:uiPriority w:val="99"/>
    <w:rsid w:val="00E42E9F"/>
    <w:rPr>
      <w:rFonts w:ascii="Arial" w:eastAsia="Arial" w:hAnsi="Arial" w:cs="Arial"/>
      <w:sz w:val="22"/>
      <w:szCs w:val="22"/>
    </w:rPr>
  </w:style>
  <w:style w:type="paragraph" w:styleId="Footer">
    <w:name w:val="footer"/>
    <w:basedOn w:val="Normal"/>
    <w:link w:val="FooterChar"/>
    <w:uiPriority w:val="99"/>
    <w:unhideWhenUsed/>
    <w:rsid w:val="00E42E9F"/>
    <w:pPr>
      <w:widowControl w:val="0"/>
      <w:tabs>
        <w:tab w:val="center" w:pos="4680"/>
        <w:tab w:val="right" w:pos="9360"/>
      </w:tabs>
      <w:autoSpaceDE w:val="0"/>
      <w:autoSpaceDN w:val="0"/>
    </w:pPr>
    <w:rPr>
      <w:rFonts w:ascii="Arial" w:eastAsia="Arial" w:hAnsi="Arial" w:cs="Arial"/>
      <w:sz w:val="22"/>
      <w:szCs w:val="22"/>
    </w:rPr>
  </w:style>
  <w:style w:type="character" w:customStyle="1" w:styleId="FooterChar">
    <w:name w:val="Footer Char"/>
    <w:basedOn w:val="DefaultParagraphFont"/>
    <w:link w:val="Footer"/>
    <w:uiPriority w:val="99"/>
    <w:rsid w:val="00E42E9F"/>
    <w:rPr>
      <w:rFonts w:ascii="Arial" w:eastAsia="Arial" w:hAnsi="Arial" w:cs="Arial"/>
      <w:sz w:val="22"/>
      <w:szCs w:val="22"/>
    </w:rPr>
  </w:style>
  <w:style w:type="character" w:styleId="Hyperlink">
    <w:name w:val="Hyperlink"/>
    <w:basedOn w:val="DefaultParagraphFont"/>
    <w:uiPriority w:val="99"/>
    <w:semiHidden/>
    <w:unhideWhenUsed/>
    <w:rsid w:val="00E42E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70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arrantcounty.com/content/main/en/county/tarrant-county-covid-19-information.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Whitt Wyatt</dc:creator>
  <cp:keywords/>
  <dc:description/>
  <cp:lastModifiedBy>Ronni Orr</cp:lastModifiedBy>
  <cp:revision>2</cp:revision>
  <dcterms:created xsi:type="dcterms:W3CDTF">2020-06-30T14:01:00Z</dcterms:created>
  <dcterms:modified xsi:type="dcterms:W3CDTF">2020-06-30T14:01:00Z</dcterms:modified>
</cp:coreProperties>
</file>